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8"/>
        <w:tblW w:w="4785" w:type="dxa"/>
        <w:jc w:val="left"/>
        <w:tblInd w:w="49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85"/>
      </w:tblGrid>
      <w:tr>
        <w:trPr/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 w:val="false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 xml:space="preserve">Приложение </w:t>
            </w: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 w:val="false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 w:val="false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УТВЕРЖДЕН</w:t>
            </w:r>
          </w:p>
        </w:tc>
      </w:tr>
      <w:tr>
        <w:trPr/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 w:val="false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  <w:t>постановлением администрации муниципального образования Северский район</w:t>
            </w:r>
          </w:p>
        </w:tc>
      </w:tr>
      <w:tr>
        <w:trPr/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 w:val="false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от_______________№_______</w:t>
            </w:r>
          </w:p>
        </w:tc>
      </w:tr>
    </w:tbl>
    <w:p>
      <w:pPr>
        <w:pStyle w:val="Normal"/>
        <w:spacing w:lineRule="auto" w:line="240" w:before="0" w:after="0"/>
        <w:contextualSpacing w:val="fals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 w:val="false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 w:val="false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</w:t>
      </w:r>
    </w:p>
    <w:p>
      <w:pPr>
        <w:pStyle w:val="Normal"/>
        <w:spacing w:lineRule="auto" w:line="240" w:before="0" w:after="0"/>
        <w:ind w:firstLine="709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ПЕРЕЧЕНЬ</w:t>
      </w:r>
    </w:p>
    <w:p>
      <w:pPr>
        <w:pStyle w:val="Normal"/>
        <w:spacing w:lineRule="auto" w:line="240" w:before="0" w:after="0"/>
        <w:ind w:firstLine="709"/>
        <w:contextualSpacing w:val="fals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главных администраторов доходов бюджета   муниципального образования Северский район на 2025 год и на плановый  </w:t>
      </w:r>
    </w:p>
    <w:p>
      <w:pPr>
        <w:pStyle w:val="Normal"/>
        <w:spacing w:lineRule="auto" w:line="240" w:before="0" w:after="0"/>
        <w:ind w:firstLine="709"/>
        <w:contextualSpacing w:val="false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период 2026 и 2027 годов</w:t>
      </w:r>
      <w:bookmarkStart w:id="0" w:name="_GoBack"/>
      <w:bookmarkEnd w:id="0"/>
    </w:p>
    <w:p>
      <w:pPr>
        <w:pStyle w:val="Normal"/>
        <w:spacing w:lineRule="auto" w:line="240" w:before="0" w:after="0"/>
        <w:contextualSpacing w:val="fals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650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733"/>
        <w:gridCol w:w="2548"/>
        <w:gridCol w:w="6369"/>
      </w:tblGrid>
      <w:tr>
        <w:trPr/>
        <w:tc>
          <w:tcPr>
            <w:tcW w:w="3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Код бюджетной классификации доходов бюджета муниципального образования</w:t>
            </w:r>
          </w:p>
        </w:tc>
        <w:tc>
          <w:tcPr>
            <w:tcW w:w="6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Наименование главного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администратора доходов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бюджета муниципального образования/наименование кода вида (подвида) доходов бюджета муниципального образования</w:t>
            </w:r>
          </w:p>
        </w:tc>
      </w:tr>
      <w:tr>
        <w:trPr>
          <w:trHeight w:val="1893" w:hRule="atLeast"/>
        </w:trPr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>Глав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>ного администратора доходов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>Вида (подвида)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</w:rPr>
              <w:t xml:space="preserve">доходов </w:t>
            </w:r>
            <w:r>
              <w:rPr>
                <w:rFonts w:eastAsia="Times New Roman" w:cs="Times New Roman" w:ascii="Times New Roman" w:hAnsi="Times New Roman"/>
                <w:b/>
                <w:bCs/>
              </w:rPr>
              <w:t>бюджета муниципального образования</w:t>
            </w:r>
          </w:p>
        </w:tc>
        <w:tc>
          <w:tcPr>
            <w:tcW w:w="63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spacing w:before="0" w:after="200"/>
              <w:contextualSpacing w:val="fals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tLeast" w:line="144" w:before="0" w:after="0"/>
        <w:contextualSpacing w:val="false"/>
        <w:jc w:val="center"/>
        <w:rPr>
          <w:rFonts w:ascii="Times New Roman" w:hAnsi="Times New Roman" w:cs="Times New Roman"/>
          <w:sz w:val="8"/>
          <w:szCs w:val="8"/>
        </w:rPr>
      </w:pPr>
      <w:r>
        <w:rPr>
          <w:rFonts w:cs="Times New Roman" w:ascii="Times New Roman" w:hAnsi="Times New Roman"/>
          <w:sz w:val="8"/>
          <w:szCs w:val="8"/>
        </w:rPr>
      </w:r>
    </w:p>
    <w:tbl>
      <w:tblPr>
        <w:tblW w:w="9645" w:type="dxa"/>
        <w:jc w:val="left"/>
        <w:tblInd w:w="24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firstRow="0" w:noVBand="0" w:lastRow="0" w:firstColumn="0" w:lastColumn="0" w:noHBand="0" w:val="0000"/>
      </w:tblPr>
      <w:tblGrid>
        <w:gridCol w:w="720"/>
        <w:gridCol w:w="2563"/>
        <w:gridCol w:w="6362"/>
      </w:tblGrid>
      <w:tr>
        <w:trPr>
          <w:tblHeader w:val="true"/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>
        <w:trPr>
          <w:trHeight w:val="568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048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sz w:val="24"/>
                <w:szCs w:val="24"/>
                <w:lang w:eastAsia="en-US"/>
              </w:rPr>
              <w:t>Федеральная служба по надзору в сфере природопользования</w:t>
            </w:r>
          </w:p>
        </w:tc>
      </w:tr>
      <w:tr>
        <w:trPr>
          <w:trHeight w:val="68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1 12 01010 01 0000 120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lang w:eastAsia="en-US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>
        <w:trPr>
          <w:trHeight w:val="519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1 12 01030 01 0000 120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lang w:eastAsia="en-US"/>
              </w:rPr>
              <w:t>Плата за сбросы загрязняющих веществ в водные объекты</w:t>
            </w:r>
          </w:p>
        </w:tc>
      </w:tr>
      <w:tr>
        <w:trPr>
          <w:trHeight w:val="569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1 12 01041 01 0000 120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lang w:eastAsia="en-US"/>
              </w:rPr>
              <w:t>Плата за размещение отходов производства</w:t>
            </w:r>
          </w:p>
        </w:tc>
      </w:tr>
      <w:tr>
        <w:trPr>
          <w:trHeight w:val="56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1 12 01042 01 0000 120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lang w:eastAsia="en-US"/>
              </w:rPr>
              <w:t>Плата за размещение твердых коммунальных отходов</w:t>
            </w:r>
          </w:p>
        </w:tc>
      </w:tr>
      <w:tr>
        <w:trPr>
          <w:trHeight w:val="96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1 12 01070 01 0000 120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lang w:eastAsia="en-US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1 16 10123 01 0000 140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3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116 11050 01 0000 140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</w:tr>
      <w:tr>
        <w:trPr>
          <w:trHeight w:val="721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  <w:t>141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sz w:val="24"/>
                <w:szCs w:val="24"/>
                <w:lang w:eastAsia="en-US"/>
              </w:rPr>
              <w:t>Федеральная служба по надзору в сфере защиты прав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sz w:val="24"/>
                <w:szCs w:val="24"/>
                <w:lang w:eastAsia="en-US"/>
              </w:rPr>
              <w:t>потребителей и благополучия человека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1 16 10123 01 0000 140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3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>
        <w:trPr>
          <w:trHeight w:val="52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  <w:t>182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sz w:val="24"/>
                <w:szCs w:val="24"/>
                <w:lang w:eastAsia="en-US"/>
              </w:rPr>
              <w:t>Федеральная налоговая служба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1 01 01012 02 0000 110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1 01 02000 01 0000 110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Налог на доходы физических лиц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1 01 02010 01 0000 110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2">
              <w:r>
                <w:rPr>
                  <w:rFonts w:cs="Times New Roman" w:ascii="Times New Roman" w:hAnsi="Times New Roman"/>
                  <w:color w:themeColor="text1" w:val="000000"/>
                  <w:sz w:val="24"/>
                  <w:szCs w:val="24"/>
                </w:rPr>
                <w:t>статьями 227</w:t>
              </w:r>
            </w:hyperlink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, </w:t>
            </w:r>
            <w:hyperlink r:id="rId3">
              <w:r>
                <w:rPr>
                  <w:rFonts w:cs="Times New Roman" w:ascii="Times New Roman" w:hAnsi="Times New Roman"/>
                  <w:color w:themeColor="text1" w:val="000000"/>
                  <w:sz w:val="24"/>
                  <w:szCs w:val="24"/>
                </w:rPr>
                <w:t>227</w:t>
              </w:r>
              <w:r>
                <w:rPr>
                  <w:rFonts w:cs="Times New Roman" w:ascii="Times New Roman" w:hAnsi="Times New Roman"/>
                  <w:color w:themeColor="text1" w:val="000000"/>
                  <w:sz w:val="24"/>
                  <w:szCs w:val="24"/>
                  <w:vertAlign w:val="superscript"/>
                </w:rPr>
                <w:t>1</w:t>
              </w:r>
            </w:hyperlink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 и </w:t>
            </w:r>
            <w:hyperlink r:id="rId4">
              <w:r>
                <w:rPr>
                  <w:rFonts w:cs="Times New Roman" w:ascii="Times New Roman" w:hAnsi="Times New Roman"/>
                  <w:color w:themeColor="text1" w:val="000000"/>
                  <w:sz w:val="24"/>
                  <w:szCs w:val="24"/>
                </w:rPr>
                <w:t>228</w:t>
              </w:r>
            </w:hyperlink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1 01 02020 01 0000 110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5">
              <w:r>
                <w:rPr>
                  <w:rFonts w:cs="Times New Roman" w:ascii="Times New Roman" w:hAnsi="Times New Roman"/>
                  <w:color w:themeColor="text1" w:val="000000"/>
                  <w:sz w:val="24"/>
                  <w:szCs w:val="24"/>
                </w:rPr>
                <w:t>статьей 227</w:t>
              </w:r>
            </w:hyperlink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1 01 02021 01 0000 110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6">
              <w:r>
                <w:rPr>
                  <w:rFonts w:cs="Times New Roman" w:ascii="Times New Roman" w:hAnsi="Times New Roman"/>
                  <w:color w:themeColor="text1" w:val="000000"/>
                  <w:sz w:val="24"/>
                  <w:szCs w:val="24"/>
                </w:rPr>
                <w:t>статьей 227</w:t>
              </w:r>
            </w:hyperlink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 Налогового кодекса Российской Федерации (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1 01 02022 01 0000 110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7">
              <w:r>
                <w:rPr>
                  <w:rFonts w:cs="Times New Roman" w:ascii="Times New Roman" w:hAnsi="Times New Roman"/>
                  <w:color w:themeColor="text1" w:val="000000"/>
                  <w:sz w:val="24"/>
                  <w:szCs w:val="24"/>
                </w:rPr>
                <w:t>статьей 227</w:t>
              </w:r>
            </w:hyperlink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 Налогового кодекса Российской Федерации (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1 01 02023 01 0000 110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8">
              <w:r>
                <w:rPr>
                  <w:rFonts w:cs="Times New Roman" w:ascii="Times New Roman" w:hAnsi="Times New Roman"/>
                  <w:color w:themeColor="text1" w:val="000000"/>
                  <w:sz w:val="24"/>
                  <w:szCs w:val="24"/>
                </w:rPr>
                <w:t>статьей 227</w:t>
              </w:r>
            </w:hyperlink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 Налогового кодекса Российской Федерации (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1 01 02024 01 0000 110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9">
              <w:r>
                <w:rPr>
                  <w:rFonts w:cs="Times New Roman" w:ascii="Times New Roman" w:hAnsi="Times New Roman"/>
                  <w:color w:themeColor="text1" w:val="000000"/>
                  <w:sz w:val="24"/>
                  <w:szCs w:val="24"/>
                </w:rPr>
                <w:t>статьей 227</w:t>
              </w:r>
            </w:hyperlink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 Налогового кодекса Российской Федерации (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 части суммы налога, превышающей 9 402 тысячи рублей, относящейся к части налоговой базы, превышающей 50 миллионов рублей)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1 01 02030 01 0000 110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0">
              <w:r>
                <w:rPr>
                  <w:rFonts w:cs="Times New Roman" w:ascii="Times New Roman" w:hAnsi="Times New Roman"/>
                  <w:color w:themeColor="text1" w:val="000000"/>
                  <w:sz w:val="24"/>
                  <w:szCs w:val="24"/>
                </w:rPr>
                <w:t>статьей 228</w:t>
              </w:r>
            </w:hyperlink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1 01 02040 01 0000 110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11">
              <w:r>
                <w:rPr>
                  <w:rFonts w:cs="Times New Roman" w:ascii="Times New Roman" w:hAnsi="Times New Roman"/>
                  <w:color w:themeColor="text1" w:val="000000"/>
                  <w:sz w:val="24"/>
                  <w:szCs w:val="24"/>
                </w:rPr>
                <w:t>статьей 227</w:t>
              </w:r>
              <w:r>
                <w:rPr>
                  <w:rFonts w:cs="Times New Roman" w:ascii="Times New Roman" w:hAnsi="Times New Roman"/>
                  <w:color w:themeColor="text1" w:val="000000"/>
                  <w:sz w:val="24"/>
                  <w:szCs w:val="24"/>
                  <w:vertAlign w:val="superscript"/>
                </w:rPr>
                <w:t>1</w:t>
              </w:r>
            </w:hyperlink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1 01 02050 01 0000 110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1 01 02060 01 0000 110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Налог на доходы физических лиц в отношении доходов в виде процентов, полученных по вкладам (остаткам на счетах) в банках, находящихся на территории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1 01 02070 01 0000 110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Налог на доходы физических лиц в отношении доходов в виде процента (купона, дисконта), получаемых по обращающимся облигациям российских организаций, номинированным в рублях и эмитированным после 1 января 2017 года, а также доходов в виде суммы процентов по государственным казначейским обязательствам, облигациям и другим государственным ценным бумагам бывшего СССР, государств - участников Союзного государства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1 01 02080 01 0000 110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1 01 02090 01 0000 110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</w:t>
            </w: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1 01 02100 01 0000 110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</w:t>
            </w: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 (в части суммы налога, превышающей 650 тысяч рублей за налоговые периоды до 1 января 2025 года, а также в части суммы налога, превышающей 312 тысяч рублей, но не более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702 тысяч рублей</w:t>
            </w: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 за налоговые периоды после 1 января 2025 года)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1 01 02101 01 0000 110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превышающей 702 тысячи рублей, но не более 3 402 тысяч рублей)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1 01 02102 01 0000 110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превышающей 3 402 тысячи рублей, но не более 9 402 тысяч рублей)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1 01 02103 01 0000 110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превышающей 9 402 тысячи рублей)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1 01 02110 01 0000 110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</w:t>
            </w: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(в части суммы налога, превышающей 650 тысяч рублей за налоговые периоды до 1 января 2025 года, а также в части суммы налога, превышающей 312 тысяч рублей, но не более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702 тысяч рублей</w:t>
            </w: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 за налоговые периоды после 1 января 2025 года)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1 01 02111 01 0000 110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превышающей 702 тысячи рублей, но не более 3 402 тысяч рублей)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1 01 02112 01 0000 110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превышающей 3 402 тысячи рублей, но не более 9 402 тысяч рублей)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1 01 02113 01 0000 110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превышающей 9 402 тысячи рублей)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1 01 02120 01 0000 110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color w:themeColor="text1"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Налог на доходы физических лиц в части суммы налога, относящейся к части налоговой базы, превышающей 2,4 миллиона рублей, уплачиваемой на основании налогового уведомления налогоплательщиками, для которых выполнено условие, предусмотренное </w:t>
            </w:r>
            <w:hyperlink r:id="rId12">
              <w:r>
                <w:rPr>
                  <w:rFonts w:cs="Times New Roman" w:ascii="Times New Roman" w:hAnsi="Times New Roman"/>
                  <w:color w:themeColor="text1" w:val="000000"/>
                  <w:sz w:val="24"/>
                  <w:szCs w:val="24"/>
                </w:rPr>
                <w:t>абзацем восьмым пункта 6 статьи 228</w:t>
              </w:r>
            </w:hyperlink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1 01 02130 01 0000 110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</w:t>
            </w: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1 01 02140 01 0000 110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</w:t>
            </w:r>
            <w:r>
              <w:rPr>
                <w:rFonts w:cs="Times New Roman" w:ascii="Times New Roman" w:hAnsi="Times New Roman"/>
                <w:color w:themeColor="text1" w:val="000000"/>
                <w:sz w:val="24"/>
                <w:szCs w:val="24"/>
              </w:rPr>
              <w:t>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1 01 02150 01 0000 110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1 01 02160 01 0000 110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1 01 02170 01 0000 110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Российской Федерации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1 01 02180 01 0000 110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кодекса, Российской Федерации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 статьи 50 Бюджетного кодекса Российской Федерации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, а также н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1 01 02190 01 0000 110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Налог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 превышающей 312 тысяч рублей, относящейся к части налоговой базы, превышающей 2,4 миллиона рублей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1 01 02200 01 0000 110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Налог на доходы физических лиц в части суммы налога, относящейся к сумме налоговых баз, указанных в пункте 6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vertAlign w:val="superscript"/>
              </w:rPr>
              <w:t>1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статьи 210 Налогового кодекса Российской Федерации, не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превышающей 5 миллионов рублей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1 01 02210 01 0000 110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Налог на доходы физических лиц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в части суммы налога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, относящейся к налоговой базе, указанной в пункте 6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vertAlign w:val="superscript"/>
              </w:rPr>
              <w:t>2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статьи 210 Налогового кодекса Российской Федерации, не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превышающей 5 миллионов рублей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1 01 02220 01 0000 110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Налог на доходы физических лиц в части суммы налога, превышающей 650 тысяч рублей, относящейся к сумме налоговых баз, указанных в пункте 6</w:t>
            </w:r>
            <w:r>
              <w:rPr>
                <w:rFonts w:cs="Times New Roman" w:ascii="Times New Roman" w:hAnsi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статьи 210 Налогового кодекса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Российской Федерации,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превышающей 5 миллионов рублей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1 01 02230 01 0000 110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Налог на доходы физических лиц в части суммы налога, превышающей 650 тыс. рублей, относящейся к налоговой базе, указанной в пункте 6</w:t>
            </w:r>
            <w:r>
              <w:rPr>
                <w:rFonts w:cs="Times New Roman" w:ascii="Times New Roman" w:hAnsi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статьи 210 Налогового кодекса Российской Федерации, превышающей 5 миллионов рублей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1 01 02240 01 0000 110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Налог на доходы физических лиц, уплачиваемый при выполнении условий, предусмотренных статьями 213</w:t>
            </w:r>
            <w:r>
              <w:rPr>
                <w:rFonts w:cs="Times New Roman" w:ascii="Times New Roman" w:hAnsi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, 217, 219</w:t>
            </w:r>
            <w:r>
              <w:rPr>
                <w:rFonts w:cs="Times New Roman" w:ascii="Times New Roman" w:hAnsi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и 219</w:t>
            </w:r>
            <w:r>
              <w:rPr>
                <w:rFonts w:cs="Times New Roman" w:ascii="Times New Roman" w:hAnsi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Налогового кодекса Российской Федерации, в случаях если сумма всех налоговых баз налогоплательщика превышает 50 миллионов рублей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1 03 02231 01 0000 110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/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lang w:eastAsia="en-US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hyperlink r:id="rId13">
              <w:r>
                <w:rPr>
                  <w:rFonts w:eastAsia="Calibri" w:cs="Times New Roman" w:ascii="Times New Roman" w:hAnsi="Times New Roman" w:eastAsiaTheme="minorHAnsi"/>
                  <w:sz w:val="24"/>
                  <w:szCs w:val="24"/>
                  <w:lang w:eastAsia="en-US"/>
                </w:rPr>
                <w:t>федеральным законом</w:t>
              </w:r>
            </w:hyperlink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lang w:eastAsia="en-US"/>
              </w:rPr>
              <w:t xml:space="preserve">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1 03 02241 01 0000 110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/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lang w:eastAsia="en-US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hyperlink r:id="rId14">
              <w:r>
                <w:rPr>
                  <w:rFonts w:eastAsia="Calibri" w:cs="Times New Roman" w:ascii="Times New Roman" w:hAnsi="Times New Roman" w:eastAsiaTheme="minorHAnsi"/>
                  <w:sz w:val="24"/>
                  <w:szCs w:val="24"/>
                  <w:lang w:eastAsia="en-US"/>
                </w:rPr>
                <w:t>федеральным законом</w:t>
              </w:r>
            </w:hyperlink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lang w:eastAsia="en-US"/>
              </w:rPr>
              <w:t xml:space="preserve">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1 03 02251 01 0000 110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/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lang w:eastAsia="en-US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hyperlink r:id="rId15">
              <w:r>
                <w:rPr>
                  <w:rFonts w:eastAsia="Calibri" w:cs="Times New Roman" w:ascii="Times New Roman" w:hAnsi="Times New Roman" w:eastAsiaTheme="minorHAnsi"/>
                  <w:sz w:val="24"/>
                  <w:szCs w:val="24"/>
                  <w:lang w:eastAsia="en-US"/>
                </w:rPr>
                <w:t>федеральным законом</w:t>
              </w:r>
            </w:hyperlink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lang w:eastAsia="en-US"/>
              </w:rPr>
              <w:t xml:space="preserve">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1 03 02261 01 0000 110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/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lang w:eastAsia="en-US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hyperlink r:id="rId16">
              <w:r>
                <w:rPr>
                  <w:rFonts w:eastAsia="Calibri" w:cs="Times New Roman" w:ascii="Times New Roman" w:hAnsi="Times New Roman" w:eastAsiaTheme="minorHAnsi"/>
                  <w:sz w:val="24"/>
                  <w:szCs w:val="24"/>
                  <w:lang w:eastAsia="en-US"/>
                </w:rPr>
                <w:t>федеральным законом</w:t>
              </w:r>
            </w:hyperlink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lang w:eastAsia="en-US"/>
              </w:rPr>
              <w:t xml:space="preserve">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1 05 01011 01 0000 110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lang w:eastAsia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1 05 01021 01 0000 110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lang w:eastAsia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lang w:eastAsia="en-US"/>
              </w:rPr>
              <w:t>Единый сельскохозяйственный налог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1 05 03020 01 0000 110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Единый сельскохозяйственный налог (за налоговые периоды, истекшие до 1 января 2011 года)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1 05 04020 02 0000 110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1 06 02010 02 0000 110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1 08 03010 01 0000 110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lang w:eastAsia="en-US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1 09 07033 05 0000 110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1 09 07053 05 0000 110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Прочие местные налоги и сборы, мобилизуемые на территориях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1 16 10129 01 0000 140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</w:tr>
      <w:tr>
        <w:trPr>
          <w:trHeight w:val="49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  <w:t>188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sz w:val="24"/>
                <w:szCs w:val="24"/>
                <w:lang w:eastAsia="en-US"/>
              </w:rPr>
              <w:t>Министерство внутренних дел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1 16 10123 01 0000 140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>
        <w:trPr>
          <w:trHeight w:val="75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321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26282F"/>
                <w:sz w:val="24"/>
                <w:szCs w:val="24"/>
              </w:rPr>
              <w:t>Федеральная служба государственной регистрации,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26282F"/>
                <w:sz w:val="24"/>
                <w:szCs w:val="24"/>
              </w:rPr>
              <w:t>кадастра и картографии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1 16 10123 01 0000 140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>
        <w:trPr>
          <w:trHeight w:val="70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836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26282F"/>
                <w:sz w:val="24"/>
                <w:szCs w:val="24"/>
              </w:rPr>
              <w:t>Департамент по обеспечению деятельности мировых судей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26282F"/>
                <w:sz w:val="24"/>
                <w:szCs w:val="24"/>
              </w:rPr>
              <w:t>Краснодарского края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2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1 16 01053 01 0000 120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17">
              <w:r>
                <w:rPr>
                  <w:rFonts w:cs="Times New Roman" w:ascii="Times New Roman" w:hAnsi="Times New Roman"/>
                  <w:sz w:val="24"/>
                  <w:szCs w:val="24"/>
                </w:rPr>
                <w:t>главой 5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1 16 01063 01 0000 120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18">
              <w:r>
                <w:rPr>
                  <w:rFonts w:cs="Times New Roman" w:ascii="Times New Roman" w:hAnsi="Times New Roman"/>
                  <w:sz w:val="24"/>
                  <w:szCs w:val="24"/>
                </w:rPr>
                <w:t>главой 6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82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1 16 01073 01 0000 120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19">
              <w:r>
                <w:rPr>
                  <w:rFonts w:cs="Times New Roman" w:ascii="Times New Roman" w:hAnsi="Times New Roman"/>
                  <w:sz w:val="24"/>
                  <w:szCs w:val="24"/>
                </w:rPr>
                <w:t>главой 7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929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1 16 01083 01 0000 120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0">
              <w:r>
                <w:rPr>
                  <w:rFonts w:cs="Times New Roman" w:ascii="Times New Roman" w:hAnsi="Times New Roman"/>
                  <w:sz w:val="24"/>
                  <w:szCs w:val="24"/>
                </w:rPr>
                <w:t>главой 8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86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1 16 01093 01 0000 140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Административные штрафы, установленные главой 9 Кодекса Российской Федерации об 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81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1 16 01103 01 0000 120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1">
              <w:r>
                <w:rPr>
                  <w:rFonts w:cs="Times New Roman" w:ascii="Times New Roman" w:hAnsi="Times New Roman"/>
                  <w:sz w:val="24"/>
                  <w:szCs w:val="24"/>
                </w:rPr>
                <w:t>главой 10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81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1 16 01133 01 0000 120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20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1 16 01143 01 0000 120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2">
              <w:r>
                <w:rPr>
                  <w:rFonts w:cs="Times New Roman" w:ascii="Times New Roman" w:hAnsi="Times New Roman"/>
                  <w:sz w:val="24"/>
                  <w:szCs w:val="24"/>
                </w:rPr>
                <w:t>главой 14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2384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1 16 01153 01 0000 120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3">
              <w:r>
                <w:rPr>
                  <w:rFonts w:cs="Times New Roman" w:ascii="Times New Roman" w:hAnsi="Times New Roman"/>
                  <w:sz w:val="24"/>
                  <w:szCs w:val="24"/>
                </w:rPr>
                <w:t>главой 15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24">
              <w:r>
                <w:rPr>
                  <w:rFonts w:cs="Times New Roman" w:ascii="Times New Roman" w:hAnsi="Times New Roman"/>
                  <w:sz w:val="24"/>
                  <w:szCs w:val="24"/>
                </w:rPr>
                <w:t>пункте 6 статьи 46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818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1 16 01173 01 0000 120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5">
              <w:r>
                <w:rPr>
                  <w:rFonts w:cs="Times New Roman" w:ascii="Times New Roman" w:hAnsi="Times New Roman"/>
                  <w:sz w:val="24"/>
                  <w:szCs w:val="24"/>
                </w:rPr>
                <w:t>главой 17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5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1 16 01193 01 0000 120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6">
              <w:r>
                <w:rPr>
                  <w:rFonts w:cs="Times New Roman" w:ascii="Times New Roman" w:hAnsi="Times New Roman"/>
                  <w:sz w:val="24"/>
                  <w:szCs w:val="24"/>
                </w:rPr>
                <w:t>главой 19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81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1 16 01203 01 0000 120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7">
              <w:r>
                <w:rPr>
                  <w:rFonts w:cs="Times New Roman" w:ascii="Times New Roman" w:hAnsi="Times New Roman"/>
                  <w:sz w:val="24"/>
                  <w:szCs w:val="24"/>
                </w:rPr>
                <w:t>главой 20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68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854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Министерство природных ресурсов Краснодарского края</w:t>
            </w:r>
          </w:p>
        </w:tc>
      </w:tr>
      <w:tr>
        <w:trPr>
          <w:trHeight w:val="153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854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1 16 10123 01 0000 140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>
        <w:trPr>
          <w:trHeight w:val="238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854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1 16 11050 01 0000 140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</w:tr>
      <w:tr>
        <w:trPr>
          <w:trHeight w:val="754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2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</w:rPr>
              <w:t>Администрация муниципального образования Северский район</w:t>
            </w:r>
          </w:p>
        </w:tc>
      </w:tr>
      <w:tr>
        <w:trPr>
          <w:trHeight w:val="77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1 08 07150 01 0000 110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Государственная пошлина за выдачу разрешения на   установку рекламной конструкции</w:t>
            </w:r>
          </w:p>
        </w:tc>
      </w:tr>
      <w:tr>
        <w:trPr>
          <w:trHeight w:val="181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1 08 07174 01 0000 110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>
        <w:trPr>
          <w:trHeight w:val="181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1 11 05013 05 0000 120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>
        <w:trPr>
          <w:trHeight w:val="153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1 11 05025 05 0000 120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</w:t>
            </w:r>
          </w:p>
        </w:tc>
      </w:tr>
      <w:tr>
        <w:trPr>
          <w:trHeight w:val="153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1 11 05035 05 0000 120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</w:tr>
      <w:tr>
        <w:trPr>
          <w:trHeight w:val="2954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1 11 05313 05 0000 120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>
        <w:trPr>
          <w:trHeight w:val="181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1 11 09045 05 0000 120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>
        <w:trPr>
          <w:trHeight w:val="72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1 13 01995 05 0000 130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>
        <w:trPr>
          <w:trHeight w:val="689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1 13 02995 05 0000 130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>
        <w:trPr>
          <w:trHeight w:val="684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1 14 01050 05 0000 410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Доходы от продажи квартир, находящихся в собственности муниципальных районов</w:t>
            </w:r>
          </w:p>
        </w:tc>
      </w:tr>
      <w:tr>
        <w:trPr>
          <w:trHeight w:val="176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1 14 02053 05 0000 410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2"/>
              <w:widowControl w:val="false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</w:rPr>
              <w:t>Доходы от реализации иного имущества, находящегося в 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>
        <w:trPr>
          <w:trHeight w:val="1768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1 14 02053 05 0000 440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Доходы от реализации  иного имущества, находящегося в собственности муниципальных районов 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 в  части  реализации  материальных запасов по указанному имуществу</w:t>
            </w:r>
          </w:p>
        </w:tc>
      </w:tr>
      <w:tr>
        <w:trPr>
          <w:trHeight w:val="130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1 14 06013 05 0000 430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>
        <w:trPr>
          <w:trHeight w:val="125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1 14 06025 05 0000 430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>
        <w:trPr>
          <w:trHeight w:val="210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1 14 06313 05 0000 430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>
        <w:trPr>
          <w:trHeight w:val="15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1 14 06325 05 0000 430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муниципальных районов</w:t>
            </w:r>
          </w:p>
        </w:tc>
      </w:tr>
      <w:tr>
        <w:trPr>
          <w:trHeight w:val="1739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1 16 01053 01 0000 140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8">
              <w:r>
                <w:rPr>
                  <w:rFonts w:cs="Times New Roman" w:ascii="Times New Roman" w:hAnsi="Times New Roman"/>
                  <w:sz w:val="24"/>
                  <w:szCs w:val="24"/>
                </w:rPr>
                <w:t>главой 5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2161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1 16 01063 01 0000 140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9">
              <w:r>
                <w:rPr>
                  <w:rFonts w:cs="Times New Roman" w:ascii="Times New Roman" w:hAnsi="Times New Roman"/>
                  <w:sz w:val="24"/>
                  <w:szCs w:val="24"/>
                </w:rPr>
                <w:t>главой 6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76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1 16 01073 01 0000 140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30">
              <w:r>
                <w:rPr>
                  <w:rFonts w:cs="Times New Roman" w:ascii="Times New Roman" w:hAnsi="Times New Roman"/>
                  <w:sz w:val="24"/>
                  <w:szCs w:val="24"/>
                </w:rPr>
                <w:t>главой 7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2901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1 16 01083 01 0000 140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 (штрафы за несоблюдение экологических и санитарно-эпидемиологических требований при обращении с отходами производства и потребления, веществами, разрушающими озоновый слой, или иными опасными веществами)</w:t>
            </w:r>
          </w:p>
        </w:tc>
      </w:tr>
      <w:tr>
        <w:trPr>
          <w:trHeight w:val="181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1 16 01093 01 0000 140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Административные штрафы, установленные главой 9 Кодекса Российской Федерации об 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81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1 16 01103 01 0000 140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Административные штрафы, установленные главой 10 Кодекса Российской Федерации об 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 делам несовершеннолетних и защите их прав</w:t>
            </w:r>
          </w:p>
        </w:tc>
      </w:tr>
      <w:tr>
        <w:trPr>
          <w:trHeight w:val="151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1 16 01113 01 0000 140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81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1 16 01123 01 0000 140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по делам несовершеннолетних и защите их прав</w:t>
            </w:r>
          </w:p>
        </w:tc>
      </w:tr>
      <w:tr>
        <w:trPr>
          <w:trHeight w:val="175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1 16 01133 01 0000 140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Административные штрафы, установленные главой 13 Кодекса Российской Федерации об 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211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1 16 01143 01 0000 140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Административные штрафы, установленные главой 14 Кодекса Российской Федерации об 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238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1 16 01153 01 0000 140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Административные штрафы, установленные главой 15 Кодекса Российской Федерации об 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76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1 16 01173 01 0000 140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Административные штрафы, установленные главой 17 Кодекса Российской Федерации об 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46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1 16 01193 01 0000 140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Административные штрафы, установленные главой 19 Кодекса Российской Федерации об 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76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1 16 01203 01 0000 140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46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1 16 02010 02 0000 140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1 16 02020 02 0000 140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>
        <w:trPr>
          <w:trHeight w:val="150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1 16 07010 05 0000 140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1 16 07090 05 0000 140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1 16 10031 05 0000 140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>
        <w:trPr>
          <w:trHeight w:val="148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1 16 10032 05 0000 140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>
        <w:trPr>
          <w:trHeight w:val="316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1 16 10061 05 0000 140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205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1 16 10081 05 0000 140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счет средств муниципального дорожного фонда)</w:t>
            </w:r>
          </w:p>
        </w:tc>
      </w:tr>
      <w:tr>
        <w:trPr>
          <w:trHeight w:val="684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1 17 01050 05 0000 180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1 17 02020 05 0000 180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Возмещение потерь сельскохозяйственного производства, связанных с изъятием сельскохозяйственных угодий, расположенных на межселенных территориях (по обязательствам, возникшим до 1 января 2008 года)</w:t>
            </w:r>
          </w:p>
        </w:tc>
      </w:tr>
      <w:tr>
        <w:trPr>
          <w:trHeight w:val="678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1 17 05050 05 0000 180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Прочие неналоговые доходы бюджетов муниципальных районов</w:t>
            </w:r>
          </w:p>
        </w:tc>
      </w:tr>
      <w:tr>
        <w:trPr>
          <w:trHeight w:val="1484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1 17 16 000 05 0000 180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Прочие неналоговые доходы бюджетов муниципальных районов в части невыясненных поступлений, по которым не осуществлен возврат (уточнение) не позднее трех лет со дня их зачисления на единый счет бюджета муниципального района</w:t>
            </w:r>
          </w:p>
        </w:tc>
      </w:tr>
      <w:tr>
        <w:trPr>
          <w:trHeight w:val="145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2 02 20041 05 0000 150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2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Субсидии бюджетам муниципальных районов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>
        <w:trPr>
          <w:trHeight w:val="817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 w:eastAsia="Calibri" w:eastAsiaTheme="minorHAnsi"/>
                <w:sz w:val="24"/>
                <w:szCs w:val="24"/>
              </w:rPr>
            </w:pPr>
            <w:r>
              <w:rPr>
                <w:rFonts w:eastAsia="Calibri" w:ascii="Times New Roman" w:hAnsi="Times New Roman" w:eastAsia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 w:ascii="Times New Roman" w:hAnsi="Times New Roman" w:eastAsiaTheme="minorHAnsi"/>
                <w:color w:val="000000"/>
                <w:sz w:val="24"/>
                <w:szCs w:val="24"/>
              </w:rPr>
              <w:t>2 02 20077 05 0000 150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 w:eastAsia="Calibri" w:eastAsiaTheme="minorHAnsi"/>
                <w:sz w:val="24"/>
                <w:szCs w:val="24"/>
              </w:rPr>
            </w:pPr>
            <w:r>
              <w:rPr>
                <w:rFonts w:eastAsia="Calibri" w:ascii="Times New Roman" w:hAnsi="Times New Roman" w:eastAsiaTheme="minorHAnsi"/>
                <w:color w:val="000000"/>
                <w:sz w:val="24"/>
                <w:szCs w:val="24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 w:eastAsia="Calibri" w:eastAsiaTheme="minorHAnsi"/>
                <w:sz w:val="24"/>
                <w:szCs w:val="24"/>
              </w:rPr>
            </w:pPr>
            <w:r>
              <w:rPr>
                <w:rFonts w:eastAsia="Calibri" w:ascii="Times New Roman" w:hAnsi="Times New Roman" w:eastAsia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 w:ascii="Times New Roman" w:hAnsi="Times New Roman" w:eastAsiaTheme="minorHAnsi"/>
                <w:color w:val="000000"/>
                <w:sz w:val="24"/>
                <w:szCs w:val="24"/>
              </w:rPr>
              <w:t>2 02 25393 05 0000 150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 w:eastAsia="Calibri" w:eastAsiaTheme="minorHAnsi"/>
                <w:sz w:val="24"/>
                <w:szCs w:val="24"/>
              </w:rPr>
            </w:pPr>
            <w:r>
              <w:rPr>
                <w:rFonts w:eastAsia="Calibri" w:ascii="Times New Roman" w:hAnsi="Times New Roman" w:eastAsiaTheme="minorHAnsi"/>
                <w:color w:val="000000"/>
                <w:sz w:val="24"/>
                <w:szCs w:val="24"/>
              </w:rPr>
              <w:t>Субсидии бюджетам муниципальных районов на финансовое обеспечение дорожной деятельности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 w:eastAsia="Calibri" w:eastAsiaTheme="minorHAnsi"/>
                <w:sz w:val="24"/>
                <w:szCs w:val="24"/>
              </w:rPr>
            </w:pPr>
            <w:r>
              <w:rPr>
                <w:rFonts w:eastAsia="Calibri" w:ascii="Times New Roman" w:hAnsi="Times New Roman" w:eastAsia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 w:ascii="Times New Roman" w:hAnsi="Times New Roman" w:eastAsiaTheme="minorHAnsi"/>
                <w:color w:val="000000"/>
                <w:sz w:val="24"/>
                <w:szCs w:val="24"/>
              </w:rPr>
              <w:t>2 02 25497 05 0000 150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 w:eastAsia="Calibri" w:eastAsiaTheme="minorHAnsi"/>
                <w:sz w:val="24"/>
                <w:szCs w:val="24"/>
              </w:rPr>
            </w:pPr>
            <w:r>
              <w:rPr>
                <w:rFonts w:eastAsia="Calibri" w:ascii="Times New Roman" w:hAnsi="Times New Roman" w:eastAsiaTheme="minorHAnsi"/>
                <w:color w:val="000000"/>
                <w:sz w:val="24"/>
                <w:szCs w:val="24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2 02 25511 05 0000 150</w:t>
            </w:r>
          </w:p>
          <w:p>
            <w:pPr>
              <w:pStyle w:val="Normal"/>
              <w:widowControl w:val="false"/>
              <w:spacing w:lineRule="atLeast" w:line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Субсидии бюджетам муниципальных районов на проведение комплексных кадастровых работ</w:t>
            </w:r>
          </w:p>
        </w:tc>
      </w:tr>
      <w:tr>
        <w:trPr>
          <w:trHeight w:val="697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2 02 29998 05 0000 150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Субсидия бюджетам муниципальных районов на финансовое обеспечение отдельных полномочий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2 02 29999 05 0000 150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>
        <w:trPr>
          <w:trHeight w:val="93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2 02 30024 05 0000 150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>
        <w:trPr>
          <w:trHeight w:val="125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2 02 35082 05 0000 150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Субвенции бюджетам муниципальных районов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</w:tr>
      <w:tr>
        <w:trPr>
          <w:trHeight w:val="125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2 02 35120 05 0000 150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2 02 39998 05 0000 150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PT Serif;serif" w:hAnsi="PT Serif;serif"/>
                <w:color w:val="22272F"/>
                <w:sz w:val="24"/>
                <w:szCs w:val="24"/>
              </w:rPr>
              <w:t>Единая субвенция бюджетам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2 02 36900 05 0000 150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Единая субвенция бюджетам муниципальных районов из бюджета субъекта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субвенции бюджетам муниципальных районов</w:t>
            </w:r>
          </w:p>
        </w:tc>
      </w:tr>
      <w:tr>
        <w:trPr>
          <w:trHeight w:val="1548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2 02 40014 05 0000 150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2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rPr>
          <w:trHeight w:val="683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2 02 49999 05 0000 150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2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Прочие межбюджетные трансферты, передаваемые бюджетам муниципальных районов</w:t>
            </w:r>
          </w:p>
        </w:tc>
      </w:tr>
      <w:tr>
        <w:trPr>
          <w:trHeight w:val="85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2272F"/>
                <w:sz w:val="24"/>
                <w:szCs w:val="24"/>
              </w:rPr>
              <w:t>2 03 05099 05 0000 150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2272F"/>
                <w:sz w:val="24"/>
                <w:szCs w:val="24"/>
              </w:rPr>
              <w:t>Прочие безвозмездные поступления от государственных (муниципальных) организаций в бюджеты муниципальных районов</w:t>
            </w:r>
          </w:p>
        </w:tc>
      </w:tr>
      <w:tr>
        <w:trPr>
          <w:trHeight w:val="85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2 18 05010 05 0000 150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>
        <w:trPr>
          <w:trHeight w:val="124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2 18 60010 05 0000 150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>
        <w:trPr>
          <w:trHeight w:val="967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/>
            </w:pPr>
            <w:r>
              <w:rPr>
                <w:rStyle w:val="Style17"/>
                <w:rFonts w:cs="Times New Roman" w:ascii="Times New Roman" w:hAnsi="Times New Roman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/>
            </w:pPr>
            <w:r>
              <w:rPr>
                <w:rStyle w:val="Style17"/>
                <w:rFonts w:cs="Times New Roman" w:ascii="Times New Roman" w:hAnsi="Times New Roman"/>
                <w:sz w:val="24"/>
                <w:szCs w:val="24"/>
              </w:rPr>
              <w:t>2 19 25497 05 0000 150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2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Возврат остатков субсидий на реализацию мероприятий по обеспечению жильем молодых семей из бюджетов муниципальных районов</w:t>
            </w:r>
          </w:p>
        </w:tc>
      </w:tr>
      <w:tr>
        <w:trPr>
          <w:trHeight w:val="1466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/>
            </w:pPr>
            <w:r>
              <w:rPr>
                <w:rStyle w:val="Style17"/>
                <w:rFonts w:ascii="Times New Roman" w:hAnsi="Times New Roman"/>
                <w:sz w:val="24"/>
                <w:szCs w:val="24"/>
              </w:rPr>
              <w:t>2 19 35082 05 0000 150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2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Возврат остатков субвенций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из бюджетов муниципальных районов</w:t>
            </w:r>
          </w:p>
        </w:tc>
      </w:tr>
      <w:tr>
        <w:trPr>
          <w:trHeight w:val="917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2 19 60010 05 0000 150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trHeight w:val="148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2 07 05010 05 0000 150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районов</w:t>
            </w:r>
          </w:p>
        </w:tc>
      </w:tr>
      <w:tr>
        <w:trPr>
          <w:trHeight w:val="966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2 07 05020 05 0000 150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>
        <w:trPr>
          <w:trHeight w:val="734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2 07 05030 05 0000 150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в бюджеты муниципальных районов</w:t>
            </w:r>
          </w:p>
        </w:tc>
      </w:tr>
      <w:tr>
        <w:trPr>
          <w:trHeight w:val="80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  <w:t>905</w:t>
            </w:r>
          </w:p>
        </w:tc>
        <w:tc>
          <w:tcPr>
            <w:tcW w:w="89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Финансовое управление администрации муниципального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образования Северский район</w:t>
            </w:r>
          </w:p>
        </w:tc>
      </w:tr>
      <w:tr>
        <w:trPr>
          <w:trHeight w:val="95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1 11 03050 05 0000 120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Проценты,  полученные  от  предоставления  бюджетных  кредитов  внутри страны за счет средств бюджетов муниципальных районов</w:t>
            </w:r>
          </w:p>
        </w:tc>
      </w:tr>
      <w:tr>
        <w:trPr>
          <w:trHeight w:val="68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1 13 02995 05 0000 130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>
        <w:trPr>
          <w:trHeight w:val="15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1 16 01074 01 0000 140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>
        <w:trPr>
          <w:trHeight w:val="2384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/>
            </w:pPr>
            <w:r>
              <w:rPr>
                <w:rStyle w:val="Style17"/>
                <w:rFonts w:cs="Times New Roman" w:ascii="Times New Roman" w:hAnsi="Times New Roman"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1 16 01154 01 0000 140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sz w:val="24"/>
                <w:szCs w:val="24"/>
                <w:lang w:eastAsia="en-US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 Бюджетного кодекса Российской Федерации), выявленные должностными лицами органов муниципального контроля.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1 16 01157 01 0000 140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неперечислением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зачислению в бюджет муниципального образования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1 16 07010 05 0000 140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1 16 07090 05 0000 140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>
        <w:trPr>
          <w:trHeight w:val="99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1 16 10100 05 0000 140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1 16 10061 05 0000 140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за счет средств муниципального дорожного фонда)</w:t>
            </w:r>
          </w:p>
        </w:tc>
      </w:tr>
      <w:tr>
        <w:trPr>
          <w:trHeight w:val="2009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1 16 10081 05 0000 140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1 17 01050 05 0000 180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1 17 05050 05 0000 180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Прочие неналоговые доходы, зачисляемые в бюджеты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2 02 15001 05 0000 150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Дотации бюджетам муниципальных районов на выравнивание уровня бюджетной обеспеченности из бюджета субъекта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2 02 15002 05 0000 150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>
        <w:trPr>
          <w:trHeight w:val="343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/>
            </w:pPr>
            <w:r>
              <w:rPr>
                <w:rStyle w:val="Style17"/>
                <w:rFonts w:ascii="Times New Roman" w:hAnsi="Times New Roman"/>
                <w:sz w:val="24"/>
                <w:szCs w:val="24"/>
              </w:rPr>
              <w:t>2 02 16549 05 0000 150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2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Дотации (гранты) бюджетам муниципальных районов за достижение показателей деятельности органов местного самоуправления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2 02 19999 05 0000 150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дотации бюджетам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2 02 29999 05 0000 150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/>
              <w:jc w:val="center"/>
              <w:rPr/>
            </w:pPr>
            <w:r>
              <w:rPr>
                <w:rStyle w:val="Style17"/>
                <w:rFonts w:ascii="Times New Roman" w:hAnsi="Times New Roman"/>
                <w:color w:val="000000"/>
                <w:sz w:val="24"/>
                <w:szCs w:val="24"/>
              </w:rPr>
              <w:t>2 02 40014 05 0000 150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2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4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2 02 49999 05 0000 150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2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межбюджетные трансферты, передаваемые бюджетам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2 08 10000 05 0000 150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Перечисления из бюджетов муниципальных районов (в бюджеты муниципальных районов) для осуществления взыскания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tLeast" w:line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2 18 60010 05 0000 150</w:t>
            </w:r>
          </w:p>
          <w:p>
            <w:pPr>
              <w:pStyle w:val="Normal"/>
              <w:widowControl w:val="false"/>
              <w:spacing w:lineRule="atLeast" w:line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2 19 60010 05 0000 150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trHeight w:val="61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910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Контрольно-счетная палата муниципального образования Северский район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910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1 13 02995 05 0000 130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910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1 16 01157 01 0000  140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неперечислением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910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1 16 01194 01 0000 140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Административные штрафы, установленные </w:t>
            </w:r>
            <w:r>
              <w:fldChar w:fldCharType="begin"/>
            </w:r>
            <w:r>
              <w:rPr>
                <w:sz w:val="24"/>
                <w:szCs w:val="24"/>
                <w:rFonts w:cs="Times New Roman" w:ascii="Times New Roman" w:hAnsi="Times New Roman"/>
                <w:color w:val="000000"/>
              </w:rPr>
              <w:instrText xml:space="preserve"> HYPERLINK "https://www.consultant.ru/document/cons_doc_LAW_422609/639e2fe7ff8415f917e98f43ef3e13932c0fb341/" \l "dst101595"</w:instrText>
            </w:r>
            <w:r>
              <w:rPr>
                <w:sz w:val="24"/>
                <w:szCs w:val="24"/>
                <w:rFonts w:cs="Times New Roman" w:ascii="Times New Roman" w:hAnsi="Times New Roman"/>
                <w:color w:val="000000"/>
              </w:rPr>
              <w:fldChar w:fldCharType="separate"/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главой 19</w:t>
            </w:r>
            <w:r>
              <w:rPr>
                <w:sz w:val="24"/>
                <w:szCs w:val="24"/>
                <w:rFonts w:cs="Times New Roman" w:ascii="Times New Roman" w:hAnsi="Times New Roman"/>
                <w:color w:val="000000"/>
              </w:rPr>
              <w:fldChar w:fldCharType="end"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910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1 16 07090 05 0000 140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910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1 16 10081 05 0000 140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910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1 17 01050 05 0000 180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910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1 17 05050 05 0000 180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Прочие неналоговые доходы, зачисляемые в бюджеты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910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2 02 40014 05 0000 150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rPr>
          <w:trHeight w:val="94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910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2 19 60010 05 0000 150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trHeight w:val="67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925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Управление образования администрации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муниципального образования Северский район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1 13 02995 05 0000 130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1 16 07010 05 0000 140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9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1 16 07090 05 0000 140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1 16 10031 05 0000 140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1 16 10032 05 0000 140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1 16 10061 05 0000 140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1 16 10081 05 0000 140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1 17 01050 05 0000 180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Невыясненные поступления, зачисляемые в бюджет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2 02 20077 05 0000 150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2 02 25027 05 0000 150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районов на реализацию мероприятий  государственной программы  Российской Федерации "Доступная среда"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Calibri" w:cs="Arial" w:eastAsiaTheme="minorHAnsi"/>
                <w:sz w:val="24"/>
                <w:szCs w:val="24"/>
                <w:lang w:eastAsia="en-US"/>
              </w:rPr>
            </w:pPr>
            <w:r>
              <w:rPr>
                <w:rFonts w:eastAsia="Calibri" w:cs="Arial" w:ascii="Times New Roman" w:hAnsi="Times New Roman" w:eastAsiaTheme="minorHAnsi"/>
                <w:color w:val="000000"/>
                <w:sz w:val="24"/>
                <w:szCs w:val="24"/>
                <w:lang w:eastAsia="en-US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 w:eastAsia="Calibri" w:cs="Arial" w:eastAsiaTheme="minorHAnsi"/>
                <w:sz w:val="24"/>
                <w:szCs w:val="24"/>
                <w:lang w:eastAsia="en-US"/>
              </w:rPr>
            </w:pPr>
            <w:r>
              <w:rPr>
                <w:rFonts w:eastAsia="Calibri" w:cs="Arial" w:ascii="Times New Roman" w:hAnsi="Times New Roman" w:eastAsiaTheme="minorHAnsi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 w:cs="Arial" w:ascii="Times New Roman" w:hAnsi="Times New Roman" w:eastAsiaTheme="minorHAnsi"/>
                <w:color w:val="000000"/>
                <w:sz w:val="24"/>
                <w:szCs w:val="24"/>
                <w:lang w:eastAsia="en-US"/>
              </w:rPr>
              <w:t>2 02 25098 05 0000 150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 w:eastAsia="Calibri" w:cs="Arial" w:eastAsiaTheme="minorHAnsi"/>
                <w:sz w:val="24"/>
                <w:szCs w:val="24"/>
                <w:lang w:eastAsia="en-US"/>
              </w:rPr>
            </w:pPr>
            <w:r>
              <w:rPr>
                <w:rFonts w:eastAsia="Calibri" w:cs="Arial" w:ascii="Times New Roman" w:hAnsi="Times New Roman" w:eastAsiaTheme="minorHAnsi"/>
                <w:color w:val="000000"/>
                <w:sz w:val="24"/>
                <w:szCs w:val="24"/>
                <w:lang w:eastAsia="en-US"/>
              </w:rPr>
              <w:t>Субсидии бюджетам муниципальных районов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2 02 25304 05 0000 150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2 02 25520 05 0000 150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районов на реализацию мероприятий по созданию в субъектах Российской Федерации новых мест в общеобразовательных организациях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2 02 25750 05 0000 150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2 02 25786 05 0000 150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2 02 29999 05 0000 150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Style26"/>
              <w:spacing w:lineRule="auto" w:line="240" w:before="0" w:after="20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2 02 30024 05 0000 150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2 02 30029 05 0000 150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2 02 35179 05 0000 150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>
        <w:trPr>
          <w:trHeight w:val="233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2 02 35303 05 0000 150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>
        <w:trPr>
          <w:trHeight w:val="1583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2 02 35304 05 0000 150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субвенции бюджетам муниципальных районов</w:t>
            </w:r>
          </w:p>
        </w:tc>
      </w:tr>
      <w:tr>
        <w:trPr>
          <w:trHeight w:val="2631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2 02 45303 05 0000 150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Межбюджетные трансферты,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>
        <w:trPr>
          <w:trHeight w:val="733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2 02 49999 05 0000 150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2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межбюджетные трансферты, передаваемые бюджетам муниципальных районов</w:t>
            </w:r>
          </w:p>
        </w:tc>
      </w:tr>
      <w:tr>
        <w:trPr>
          <w:trHeight w:val="967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2 18 05010 05 0000 150</w:t>
            </w:r>
          </w:p>
        </w:tc>
        <w:tc>
          <w:tcPr>
            <w:tcW w:w="6362" w:type="dxa"/>
            <w:tcBorders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>
        <w:trPr>
          <w:trHeight w:val="966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Style17"/>
                <w:rFonts w:ascii="Times New Roman" w:hAnsi="Times New Roman"/>
                <w:sz w:val="24"/>
                <w:szCs w:val="24"/>
              </w:rPr>
              <w:t>2 18 05020 05 0000 150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>
        <w:trPr>
          <w:trHeight w:val="1534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/>
            </w:pPr>
            <w:r>
              <w:rPr>
                <w:rStyle w:val="Style17"/>
                <w:rFonts w:ascii="Times New Roman" w:hAnsi="Times New Roman"/>
                <w:color w:val="000000"/>
                <w:sz w:val="24"/>
                <w:szCs w:val="24"/>
              </w:rPr>
              <w:t>2 19 35303 05 0000 150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925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/>
            </w:pPr>
            <w:r>
              <w:rPr>
                <w:rStyle w:val="Style17"/>
                <w:rFonts w:ascii="Times New Roman" w:hAnsi="Times New Roman"/>
                <w:color w:val="000000"/>
                <w:sz w:val="24"/>
                <w:szCs w:val="24"/>
              </w:rPr>
              <w:t>2 19 35304 05 0000 150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остатков субвенций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</w:tr>
      <w:tr>
        <w:trPr>
          <w:trHeight w:val="94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2 19 60010 05 0000 150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trHeight w:val="68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89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2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</w:rPr>
              <w:t>Управление культуры администрации</w:t>
            </w:r>
          </w:p>
          <w:p>
            <w:pPr>
              <w:pStyle w:val="Style22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</w:rPr>
              <w:t>муниципального образования Северский район</w:t>
            </w:r>
          </w:p>
        </w:tc>
      </w:tr>
      <w:tr>
        <w:trPr>
          <w:trHeight w:val="68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1 13 02995 05 0000 130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>
        <w:trPr>
          <w:trHeight w:val="15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1 16 07010 05 0000 140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>
        <w:trPr>
          <w:trHeight w:val="146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1 16 07090 05 0000 140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>
        <w:trPr>
          <w:trHeight w:val="96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926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1 16 10031 05 0000 140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>
        <w:trPr>
          <w:trHeight w:val="1484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1 16 10032 05 0000 140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>
        <w:trPr>
          <w:trHeight w:val="318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1 16 10061 05 0000 140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210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1 16 10081 05 0000 140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65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1 17 01050 05 0000 180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>
        <w:trPr>
          <w:trHeight w:val="97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2 02 20077 05 0000 150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>
        <w:trPr>
          <w:trHeight w:val="63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2 02 25519 05 0000 150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районов на поддержку отрасли культуры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2 02 29999 05 0000 150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>
        <w:trPr>
          <w:trHeight w:val="93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2 02 30024 05 0000 150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субвенции бюджетам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/>
              <w:jc w:val="center"/>
              <w:rPr/>
            </w:pPr>
            <w:r>
              <w:rPr>
                <w:rStyle w:val="Style17"/>
                <w:rFonts w:ascii="Times New Roman" w:hAnsi="Times New Roman"/>
                <w:color w:val="000000"/>
                <w:sz w:val="24"/>
                <w:szCs w:val="24"/>
              </w:rPr>
              <w:t>2 02 45165 05 0000 150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2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Межбюджетные трансферты, передаваемые бюджетам муниципальных районов на премирование регионов - победителей фестиваля культуры и спорта народов Юга России</w:t>
            </w:r>
          </w:p>
        </w:tc>
      </w:tr>
      <w:tr>
        <w:trPr>
          <w:trHeight w:val="734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/>
            </w:pPr>
            <w:r>
              <w:rPr>
                <w:rStyle w:val="Style17"/>
                <w:rFonts w:ascii="Times New Roman" w:hAnsi="Times New Roman"/>
                <w:color w:val="000000"/>
                <w:sz w:val="24"/>
                <w:szCs w:val="24"/>
              </w:rPr>
              <w:t>2 02 45519 05 0000 150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2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Межбюджетные трансферты, передаваемые бюджетам муниципальных районов на поддержку отрасли культуры</w:t>
            </w:r>
          </w:p>
        </w:tc>
      </w:tr>
      <w:tr>
        <w:trPr>
          <w:trHeight w:val="674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2 02 49999 05 0000 150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2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межбюджетные трансферты, передаваемые бюджетам муниципальных районов</w:t>
            </w:r>
          </w:p>
        </w:tc>
      </w:tr>
      <w:tr>
        <w:trPr>
          <w:trHeight w:val="904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2 18 05010 05 0000 150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2 19 25519 05 0000 150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9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Возврат остатков субсидий на поддержку отрасли культуры из бюджетов муниципальных районов</w:t>
            </w:r>
          </w:p>
        </w:tc>
      </w:tr>
      <w:tr>
        <w:trPr>
          <w:trHeight w:val="928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2 19 60010 05 0000 150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trHeight w:val="68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929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Управление по физической культуре и спорту администрации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муниципального образования Северский район</w:t>
            </w:r>
          </w:p>
        </w:tc>
      </w:tr>
      <w:tr>
        <w:trPr>
          <w:trHeight w:val="5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1 13 02995 05 0000 130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1 16 07010 05 0000 140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1 16 07090 05 0000 140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1 16 10031 05 0000 140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1 16 10032 05 0000 140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>
        <w:trPr>
          <w:trHeight w:val="323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1 16 10061 05 0000 140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222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929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1 16 10081 05 0000 140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678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1 17 01050 05 0000 180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>
        <w:trPr>
          <w:trHeight w:val="966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2 02 20077 05 0000 150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>
        <w:trPr>
          <w:trHeight w:val="1017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2 02 25228 05 0000 150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оснащение объектов спортивной инфраструктуры спортивно-технологическим оборудованием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2 02 29999 05 0000 150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>
        <w:trPr>
          <w:trHeight w:val="1047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2 02 30024 05 0000 150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2 02 39999 05 0000 150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субвенции бюджетам муниципальных районов</w:t>
            </w:r>
          </w:p>
        </w:tc>
      </w:tr>
      <w:tr>
        <w:trPr>
          <w:trHeight w:val="698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2 02 49999 05 0000 150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2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межбюджетные трансферты, передаваемые бюджетам муниципальных районов</w:t>
            </w:r>
          </w:p>
        </w:tc>
      </w:tr>
      <w:tr>
        <w:trPr>
          <w:trHeight w:val="966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929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2 03 05099 05 0000 150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Прочие безвозмездные поступления от государственных (муниципальных) организаций в бюджеты муниципальных районов</w:t>
            </w:r>
          </w:p>
        </w:tc>
      </w:tr>
      <w:tr>
        <w:trPr>
          <w:trHeight w:val="9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2 18 05010 05 0000 150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>
        <w:trPr>
          <w:trHeight w:val="88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2 19 60010 05 0000 150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trHeight w:val="751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</w:rPr>
              <w:t>930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sz w:val="24"/>
                <w:szCs w:val="24"/>
                <w:lang w:eastAsia="en-US"/>
              </w:rPr>
              <w:t>Управление опеки и попечительства в отношении несовершеннолетних администрации муниципального образования Северский район</w:t>
            </w:r>
          </w:p>
        </w:tc>
      </w:tr>
      <w:tr>
        <w:trPr>
          <w:trHeight w:val="7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1 13 02995 05 0000 130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>
        <w:trPr>
          <w:trHeight w:val="7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1 16 07010 05 0000 140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>
        <w:trPr>
          <w:trHeight w:val="36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930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1 16 07090 05 0000 140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>
        <w:trPr>
          <w:trHeight w:val="81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930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1 16 10031 05 0000 140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>
        <w:trPr>
          <w:trHeight w:val="141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1 16 10032 05 0000 140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>
        <w:trPr>
          <w:trHeight w:val="311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1 16 10061 05 0000 140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9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1 16 10081 05 0000 140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9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1 17 01050 05 0000 180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>
        <w:trPr>
          <w:trHeight w:val="45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2 02 29999 05 0000 150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>
        <w:trPr>
          <w:trHeight w:val="653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2 02 30024 05 0000 150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>
        <w:trPr>
          <w:trHeight w:val="568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2 02 36900 05 0000 150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2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Единая субвенция бюджетам муниципальных районов из бюджета субъекта Российской Федерации</w:t>
            </w:r>
          </w:p>
        </w:tc>
      </w:tr>
      <w:tr>
        <w:trPr>
          <w:trHeight w:val="116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субвенции бюджетам муниципальных районов</w:t>
            </w:r>
          </w:p>
        </w:tc>
      </w:tr>
      <w:tr>
        <w:trPr>
          <w:trHeight w:val="562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2 02 49999 05 0000 150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2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межбюджетные трансферты, передаваемые бюджетам муниципальных районов</w:t>
            </w:r>
          </w:p>
        </w:tc>
      </w:tr>
      <w:tr>
        <w:trPr>
          <w:trHeight w:val="9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2 19 60010 05 0000 150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trHeight w:val="68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  <w:t>934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Управление по молодежной политике администрации муниципального образования  Северский район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1 13 02995 05 0000 130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1 16 07010 05 0000 140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1 16 07090 05 0000 140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1 16 10031 05 0000 140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1 16 10032 05 0000 140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1 16 10061 05 0000 140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1 16 10081 05 0000 140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7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1 17 01050 05 0000 180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>
        <w:trPr>
          <w:trHeight w:val="66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2 02 29999 05 0000 150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6"/>
              <w:spacing w:lineRule="auto" w:line="240" w:before="0" w:after="20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>
        <w:trPr>
          <w:trHeight w:val="102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2 02 30024 05 0000 150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>
        <w:trPr>
          <w:trHeight w:val="8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6"/>
              <w:spacing w:lineRule="auto" w:line="240" w:before="0" w:after="20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субвенции бюджетам муниципальных районов</w:t>
            </w:r>
          </w:p>
        </w:tc>
      </w:tr>
      <w:tr>
        <w:trPr>
          <w:trHeight w:val="99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2 02 49999 05 0000 150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2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межбюджетные трансферты, передаваемые бюджетам муниципальных районов</w:t>
            </w:r>
          </w:p>
        </w:tc>
      </w:tr>
      <w:tr>
        <w:trPr>
          <w:trHeight w:val="78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20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2 19 60010 05 0000 150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spacing w:lineRule="auto" w:line="240" w:before="0" w:after="0"/>
              <w:contextualSpacing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trHeight w:val="8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  <w:t>992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Администрации городских поселений Северского района</w:t>
            </w:r>
          </w:p>
        </w:tc>
      </w:tr>
      <w:tr>
        <w:trPr>
          <w:trHeight w:val="1059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992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1 11 05013 13 0000 120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Доходы,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>
        <w:trPr>
          <w:trHeight w:val="47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1 11 05314 13 0000 120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>
        <w:trPr>
          <w:trHeight w:val="408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1 14 06013 13 0000 430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Доходы от продажи земельных участков государственная собственность на которые не разграничена и которые расположены в границах городских  поселений</w:t>
            </w:r>
          </w:p>
        </w:tc>
      </w:tr>
      <w:tr>
        <w:trPr>
          <w:trHeight w:val="801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hanging="0" w:left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1 14 06313 13 0000 430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 w:val="false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contextualSpacing w:val="false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расположены в границах городских поселений</w:t>
            </w:r>
          </w:p>
        </w:tc>
      </w:tr>
    </w:tbl>
    <w:p>
      <w:pPr>
        <w:pStyle w:val="Normal"/>
        <w:spacing w:lineRule="auto" w:line="240" w:before="0" w:after="0"/>
        <w:contextualSpacing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Заместитель начальника</w:t>
      </w:r>
    </w:p>
    <w:p>
      <w:pPr>
        <w:pStyle w:val="Normal"/>
        <w:widowControl w:val="false"/>
        <w:spacing w:lineRule="auto" w:line="240" w:before="0" w:after="0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финансового управления                                                                       А.Г.Красиков</w:t>
      </w:r>
    </w:p>
    <w:sectPr>
      <w:headerReference w:type="default" r:id="rId31"/>
      <w:headerReference w:type="first" r:id="rId32"/>
      <w:type w:val="nextPage"/>
      <w:pgSz w:w="11906" w:h="16838"/>
      <w:pgMar w:left="1701" w:right="567" w:gutter="0" w:header="1134" w:top="1693" w:footer="0" w:bottom="1020"/>
      <w:pgNumType w:start="1" w:fmt="decimal"/>
      <w:formProt w:val="false"/>
      <w:titlePg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  <w:font w:name="PT Serif">
    <w:altName w:val="serif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 xml:space="preserve"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31</w:t>
    </w:r>
    <w:r>
      <w:rPr>
        <w:sz w:val="24"/>
        <w:szCs w:val="24"/>
        <w:rFonts w:ascii="Times New Roman" w:hAnsi="Times New Roman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</w:rPr>
    </w:r>
  </w:p>
</w:hdr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tLeast" w:line="0" w:before="0" w:after="0"/>
      <w:contextualSpacing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4">
    <w:name w:val="Heading 4"/>
    <w:basedOn w:val="Normal"/>
    <w:next w:val="Normal"/>
    <w:qFormat/>
    <w:rsid w:val="00926d3b"/>
    <w:pPr>
      <w:keepNext w:val="true"/>
      <w:spacing w:lineRule="auto" w:line="240" w:before="240" w:after="60"/>
      <w:contextualSpacing w:val="false"/>
      <w:outlineLvl w:val="3"/>
    </w:pPr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4" w:customStyle="1">
    <w:name w:val="Заголовок 4 Знак"/>
    <w:basedOn w:val="DefaultParagraphFont"/>
    <w:qFormat/>
    <w:rsid w:val="00926d3b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Blk" w:customStyle="1">
    <w:name w:val="blk"/>
    <w:basedOn w:val="DefaultParagraphFont"/>
    <w:qFormat/>
    <w:rsid w:val="00926d3b"/>
    <w:rPr/>
  </w:style>
  <w:style w:type="character" w:styleId="Style13" w:customStyle="1">
    <w:name w:val="Гипертекстовая ссылка"/>
    <w:basedOn w:val="DefaultParagraphFont"/>
    <w:uiPriority w:val="99"/>
    <w:qFormat/>
    <w:rsid w:val="007225a7"/>
    <w:rPr>
      <w:color w:val="106BBE"/>
    </w:rPr>
  </w:style>
  <w:style w:type="character" w:styleId="1" w:customStyle="1">
    <w:name w:val="Гиперссылка1"/>
    <w:basedOn w:val="DefaultParagraphFont"/>
    <w:uiPriority w:val="99"/>
    <w:unhideWhenUsed/>
    <w:qFormat/>
    <w:rsid w:val="007225a7"/>
    <w:rPr>
      <w:color w:themeColor="hyperlink" w:val="0000FF"/>
      <w:u w:val="single"/>
    </w:rPr>
  </w:style>
  <w:style w:type="character" w:styleId="Highlightsearch4" w:customStyle="1">
    <w:name w:val="highlightsearch4"/>
    <w:basedOn w:val="DefaultParagraphFont"/>
    <w:qFormat/>
    <w:rsid w:val="00d110c4"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e47968"/>
    <w:rPr>
      <w:rFonts w:eastAsia="" w:eastAsiaTheme="minorEastAsia"/>
      <w:lang w:eastAsia="ru-RU"/>
    </w:rPr>
  </w:style>
  <w:style w:type="character" w:styleId="Style15" w:customStyle="1">
    <w:name w:val="Нижний колонтитул Знак"/>
    <w:basedOn w:val="DefaultParagraphFont"/>
    <w:uiPriority w:val="99"/>
    <w:qFormat/>
    <w:rsid w:val="00e47968"/>
    <w:rPr>
      <w:rFonts w:eastAsia="" w:eastAsiaTheme="minorEastAsia"/>
      <w:lang w:eastAsia="ru-RU"/>
    </w:rPr>
  </w:style>
  <w:style w:type="character" w:styleId="Style16" w:customStyle="1">
    <w:name w:val="Текст выноски Знак"/>
    <w:basedOn w:val="DefaultParagraphFont"/>
    <w:uiPriority w:val="99"/>
    <w:semiHidden/>
    <w:qFormat/>
    <w:rsid w:val="005d626d"/>
    <w:rPr>
      <w:rFonts w:ascii="Tahoma" w:hAnsi="Tahoma" w:cs="Tahoma"/>
      <w:sz w:val="16"/>
      <w:szCs w:val="16"/>
    </w:rPr>
  </w:style>
  <w:style w:type="character" w:styleId="Style17" w:customStyle="1">
    <w:name w:val="Цветовое выделение для Текст"/>
    <w:qFormat/>
    <w:rPr/>
  </w:style>
  <w:style w:type="character" w:styleId="Style18" w:customStyle="1">
    <w:name w:val="Цветовое выделение"/>
    <w:qFormat/>
    <w:rPr>
      <w:b/>
      <w:color w:val="26282F"/>
    </w:rPr>
  </w:style>
  <w:style w:type="character" w:styleId="Hyperlink">
    <w:name w:val="Hyperlink"/>
    <w:rPr>
      <w:color w:val="000080"/>
      <w:u w:val="single"/>
    </w:rPr>
  </w:style>
  <w:style w:type="paragraph" w:styleId="Style19" w:customStyle="1">
    <w:name w:val="Заголовок"/>
    <w:basedOn w:val="Normal"/>
    <w:next w:val="BodyText"/>
    <w:qFormat/>
    <w:pPr>
      <w:keepNext w:val="true"/>
      <w:spacing w:before="240" w:after="120"/>
      <w:contextualSpacing w:val="false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/>
      <w:contextualSpacing w:val="false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  <w:contextualSpacing w:val="false"/>
    </w:pPr>
    <w:rPr>
      <w:rFonts w:cs="Arial Unicode M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  <w:contextualSpacing w:val="false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Caption11" w:customStyle="1">
    <w:name w:val="caption11"/>
    <w:basedOn w:val="Normal"/>
    <w:qFormat/>
    <w:pPr>
      <w:suppressLineNumbers/>
      <w:spacing w:before="120" w:after="120"/>
      <w:contextualSpacing w:val="false"/>
    </w:pPr>
    <w:rPr>
      <w:rFonts w:cs="Arial"/>
      <w:i/>
      <w:iCs/>
      <w:sz w:val="24"/>
      <w:szCs w:val="24"/>
    </w:rPr>
  </w:style>
  <w:style w:type="paragraph" w:styleId="ConsPlusNonformat" w:customStyle="1">
    <w:name w:val="ConsPlusNonformat"/>
    <w:uiPriority w:val="99"/>
    <w:qFormat/>
    <w:rsid w:val="00926d3b"/>
    <w:pPr>
      <w:widowControl w:val="false"/>
      <w:suppressAutoHyphens w:val="true"/>
      <w:bidi w:val="0"/>
      <w:spacing w:before="0" w:after="0"/>
      <w:jc w:val="center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Nonformat" w:customStyle="1">
    <w:name w:val="ConsNonformat"/>
    <w:qFormat/>
    <w:rsid w:val="00926d3b"/>
    <w:pPr>
      <w:widowControl w:val="false"/>
      <w:suppressAutoHyphens w:val="true"/>
      <w:bidi w:val="0"/>
      <w:spacing w:before="0" w:after="0"/>
      <w:ind w:right="19772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21" w:customStyle="1">
    <w:name w:val="Таблицы (моноширинный)"/>
    <w:basedOn w:val="Normal"/>
    <w:next w:val="Normal"/>
    <w:uiPriority w:val="99"/>
    <w:qFormat/>
    <w:rsid w:val="00926d3b"/>
    <w:pPr>
      <w:widowControl w:val="false"/>
      <w:spacing w:lineRule="auto" w:line="240" w:before="0" w:after="0"/>
      <w:contextualSpacing w:val="false"/>
      <w:jc w:val="both"/>
    </w:pPr>
    <w:rPr>
      <w:rFonts w:ascii="Courier New" w:hAnsi="Courier New" w:eastAsia="Times New Roman" w:cs="Courier New"/>
      <w:sz w:val="20"/>
      <w:szCs w:val="20"/>
    </w:rPr>
  </w:style>
  <w:style w:type="paragraph" w:styleId="Style22" w:customStyle="1">
    <w:name w:val="Прижатый влево"/>
    <w:basedOn w:val="Normal"/>
    <w:next w:val="Normal"/>
    <w:uiPriority w:val="99"/>
    <w:qFormat/>
    <w:rsid w:val="00c47642"/>
    <w:pPr>
      <w:spacing w:lineRule="auto" w:line="240" w:before="0" w:after="0"/>
      <w:contextualSpacing w:val="false"/>
    </w:pPr>
    <w:rPr>
      <w:rFonts w:ascii="Arial" w:hAnsi="Arial" w:eastAsia="Calibri" w:cs="Arial" w:eastAsiaTheme="minorHAnsi"/>
      <w:sz w:val="24"/>
      <w:szCs w:val="24"/>
      <w:lang w:eastAsia="en-US"/>
    </w:rPr>
  </w:style>
  <w:style w:type="paragraph" w:styleId="Style23" w:customStyle="1">
    <w:name w:val="Нормальный (таблица)"/>
    <w:basedOn w:val="Normal"/>
    <w:next w:val="Normal"/>
    <w:uiPriority w:val="99"/>
    <w:qFormat/>
    <w:rsid w:val="00266b60"/>
    <w:pPr>
      <w:spacing w:lineRule="auto" w:line="240" w:before="0" w:after="0"/>
      <w:contextualSpacing w:val="false"/>
      <w:jc w:val="both"/>
    </w:pPr>
    <w:rPr>
      <w:rFonts w:ascii="Arial" w:hAnsi="Arial" w:eastAsia="Calibri" w:cs="Arial" w:eastAsiaTheme="minorHAnsi"/>
      <w:sz w:val="24"/>
      <w:szCs w:val="24"/>
      <w:lang w:eastAsia="en-US"/>
    </w:rPr>
  </w:style>
  <w:style w:type="paragraph" w:styleId="Style24" w:customStyle="1">
    <w:name w:val="Верхний и нижний колонтитулы"/>
    <w:basedOn w:val="Normal"/>
    <w:qFormat/>
    <w:pPr/>
    <w:rPr/>
  </w:style>
  <w:style w:type="paragraph" w:styleId="Style25" w:customStyle="1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rsid w:val="00e47968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  <w:contextualSpacing w:val="false"/>
    </w:pPr>
    <w:rPr/>
  </w:style>
  <w:style w:type="paragraph" w:styleId="Footer">
    <w:name w:val="Footer"/>
    <w:basedOn w:val="Normal"/>
    <w:uiPriority w:val="99"/>
    <w:unhideWhenUsed/>
    <w:rsid w:val="00e47968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  <w:contextualSpacing w:val="false"/>
    </w:pPr>
    <w:rPr/>
  </w:style>
  <w:style w:type="paragraph" w:styleId="BalloonText">
    <w:name w:val="Balloon Text"/>
    <w:basedOn w:val="Normal"/>
    <w:uiPriority w:val="99"/>
    <w:semiHidden/>
    <w:unhideWhenUsed/>
    <w:qFormat/>
    <w:rsid w:val="005d626d"/>
    <w:pPr>
      <w:spacing w:lineRule="auto" w:line="240" w:before="0" w:after="0"/>
      <w:contextualSpacing w:val="false"/>
    </w:pPr>
    <w:rPr>
      <w:rFonts w:ascii="Tahoma" w:hAnsi="Tahoma" w:cs="Tahoma"/>
      <w:sz w:val="16"/>
      <w:szCs w:val="16"/>
    </w:rPr>
  </w:style>
  <w:style w:type="paragraph" w:styleId="Style2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7" w:customStyle="1">
    <w:name w:val="Заголовок таблицы"/>
    <w:basedOn w:val="Style2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59"/>
    <w:rsid w:val="001237bf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login.consultant.ru/link/?req=doc&amp;base=LAW&amp;n=463356&amp;dst=3019" TargetMode="External"/><Relationship Id="rId3" Type="http://schemas.openxmlformats.org/officeDocument/2006/relationships/hyperlink" Target="https://login.consultant.ru/link/?req=doc&amp;base=LAW&amp;n=463356&amp;dst=10877" TargetMode="External"/><Relationship Id="rId4" Type="http://schemas.openxmlformats.org/officeDocument/2006/relationships/hyperlink" Target="https://login.consultant.ru/link/?req=doc&amp;base=LAW&amp;n=463356&amp;dst=101491" TargetMode="External"/><Relationship Id="rId5" Type="http://schemas.openxmlformats.org/officeDocument/2006/relationships/hyperlink" Target="https://login.consultant.ru/link/?req=doc&amp;base=LAW&amp;n=463356&amp;dst=3019" TargetMode="External"/><Relationship Id="rId6" Type="http://schemas.openxmlformats.org/officeDocument/2006/relationships/hyperlink" Target="https://login.consultant.ru/link/?req=doc&amp;base=LAW&amp;n=463356&amp;dst=3019" TargetMode="External"/><Relationship Id="rId7" Type="http://schemas.openxmlformats.org/officeDocument/2006/relationships/hyperlink" Target="https://login.consultant.ru/link/?req=doc&amp;base=LAW&amp;n=463356&amp;dst=3019" TargetMode="External"/><Relationship Id="rId8" Type="http://schemas.openxmlformats.org/officeDocument/2006/relationships/hyperlink" Target="https://login.consultant.ru/link/?req=doc&amp;base=LAW&amp;n=463356&amp;dst=3019" TargetMode="External"/><Relationship Id="rId9" Type="http://schemas.openxmlformats.org/officeDocument/2006/relationships/hyperlink" Target="https://login.consultant.ru/link/?req=doc&amp;base=LAW&amp;n=463356&amp;dst=3019" TargetMode="External"/><Relationship Id="rId10" Type="http://schemas.openxmlformats.org/officeDocument/2006/relationships/hyperlink" Target="https://login.consultant.ru/link/?req=doc&amp;base=LAW&amp;n=463356&amp;dst=101491" TargetMode="External"/><Relationship Id="rId11" Type="http://schemas.openxmlformats.org/officeDocument/2006/relationships/hyperlink" Target="https://login.consultant.ru/link/?req=doc&amp;base=LAW&amp;n=463356&amp;dst=10877" TargetMode="External"/><Relationship Id="rId12" Type="http://schemas.openxmlformats.org/officeDocument/2006/relationships/hyperlink" Target="https://login.consultant.ru/link/?req=doc&amp;base=LAW&amp;n=463356&amp;dst=21197" TargetMode="External"/><Relationship Id="rId13" Type="http://schemas.openxmlformats.org/officeDocument/2006/relationships/hyperlink" Target="garantf1://5659555.0" TargetMode="External"/><Relationship Id="rId14" Type="http://schemas.openxmlformats.org/officeDocument/2006/relationships/hyperlink" Target="garantf1://5659555.0" TargetMode="External"/><Relationship Id="rId15" Type="http://schemas.openxmlformats.org/officeDocument/2006/relationships/hyperlink" Target="garantf1://5659555.0" TargetMode="External"/><Relationship Id="rId16" Type="http://schemas.openxmlformats.org/officeDocument/2006/relationships/hyperlink" Target="garantf1://5659555.0" TargetMode="External"/><Relationship Id="rId17" Type="http://schemas.openxmlformats.org/officeDocument/2006/relationships/hyperlink" Target="garantf1://12025267.50" TargetMode="External"/><Relationship Id="rId18" Type="http://schemas.openxmlformats.org/officeDocument/2006/relationships/hyperlink" Target="garantf1://12025267.60" TargetMode="External"/><Relationship Id="rId19" Type="http://schemas.openxmlformats.org/officeDocument/2006/relationships/hyperlink" Target="garantf1://12025267.70" TargetMode="External"/><Relationship Id="rId20" Type="http://schemas.openxmlformats.org/officeDocument/2006/relationships/hyperlink" Target="garantf1://12025267.80" TargetMode="External"/><Relationship Id="rId21" Type="http://schemas.openxmlformats.org/officeDocument/2006/relationships/hyperlink" Target="garantf1://12025267.100" TargetMode="External"/><Relationship Id="rId22" Type="http://schemas.openxmlformats.org/officeDocument/2006/relationships/hyperlink" Target="garantf1://12025267.140" TargetMode="External"/><Relationship Id="rId23" Type="http://schemas.openxmlformats.org/officeDocument/2006/relationships/hyperlink" Target="garantf1://12025267.150" TargetMode="External"/><Relationship Id="rId24" Type="http://schemas.openxmlformats.org/officeDocument/2006/relationships/hyperlink" Target="garantf1://12012604.466" TargetMode="External"/><Relationship Id="rId25" Type="http://schemas.openxmlformats.org/officeDocument/2006/relationships/hyperlink" Target="garantf1://12025267.170" TargetMode="External"/><Relationship Id="rId26" Type="http://schemas.openxmlformats.org/officeDocument/2006/relationships/hyperlink" Target="garantf1://12025267.190" TargetMode="External"/><Relationship Id="rId27" Type="http://schemas.openxmlformats.org/officeDocument/2006/relationships/hyperlink" Target="garantf1://12025267.200" TargetMode="External"/><Relationship Id="rId28" Type="http://schemas.openxmlformats.org/officeDocument/2006/relationships/hyperlink" Target="garantf1://12025267.50" TargetMode="External"/><Relationship Id="rId29" Type="http://schemas.openxmlformats.org/officeDocument/2006/relationships/hyperlink" Target="garantf1://12025267.60" TargetMode="External"/><Relationship Id="rId30" Type="http://schemas.openxmlformats.org/officeDocument/2006/relationships/hyperlink" Target="garantf1://12025267.70" TargetMode="External"/><Relationship Id="rId31" Type="http://schemas.openxmlformats.org/officeDocument/2006/relationships/header" Target="header1.xml"/><Relationship Id="rId32" Type="http://schemas.openxmlformats.org/officeDocument/2006/relationships/header" Target="header2.xml"/><Relationship Id="rId33" Type="http://schemas.openxmlformats.org/officeDocument/2006/relationships/fontTable" Target="fontTable.xml"/><Relationship Id="rId34" Type="http://schemas.openxmlformats.org/officeDocument/2006/relationships/settings" Target="settings.xml"/><Relationship Id="rId35" Type="http://schemas.openxmlformats.org/officeDocument/2006/relationships/theme" Target="theme/theme1.xml"/><Relationship Id="rId3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BE469-E3CD-40B9-BE66-E73015247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Application>LibreOffice/7.6.3.2$Windows_X86_64 LibreOffice_project/29d686fea9f6705b262d369fede658f824154cc0</Application>
  <AppVersion>15.0000</AppVersion>
  <Pages>31</Pages>
  <Words>9485</Words>
  <Characters>62856</Characters>
  <CharactersWithSpaces>71732</CharactersWithSpaces>
  <Paragraphs>861</Paragraphs>
  <Company>НПП "Гарант-Сервис"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2021-11-16T11:15:00Z</dcterms:created>
  <dc:creator>НПП "Гарант-Сервис"</dc:creator>
  <dc:description>Документ экспортирован из системы ГАРАНТ</dc:description>
  <dc:language>ru-RU</dc:language>
  <cp:lastModifiedBy/>
  <cp:lastPrinted>2024-12-23T17:10:40Z</cp:lastPrinted>
  <dcterms:modified xsi:type="dcterms:W3CDTF">2024-12-23T17:55:47Z</dcterms:modified>
  <cp:revision>354</cp:revision>
  <dc:subject/>
  <dc:title>Оглавление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